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F3" w:rsidRPr="00D2105D" w:rsidRDefault="00D2105D" w:rsidP="00726013">
      <w:pPr>
        <w:spacing w:after="60"/>
        <w:ind w:firstLine="357"/>
        <w:jc w:val="center"/>
        <w:rPr>
          <w:b/>
          <w:sz w:val="24"/>
          <w:szCs w:val="24"/>
        </w:rPr>
      </w:pPr>
      <w:r w:rsidRPr="00D2105D">
        <w:rPr>
          <w:b/>
          <w:sz w:val="24"/>
          <w:szCs w:val="24"/>
        </w:rPr>
        <w:t>Haywards Heath Harriers</w:t>
      </w:r>
    </w:p>
    <w:p w:rsidR="00D2105D" w:rsidRPr="00D2105D" w:rsidRDefault="00D2105D" w:rsidP="00726013">
      <w:pPr>
        <w:spacing w:after="60"/>
        <w:ind w:firstLine="357"/>
        <w:jc w:val="center"/>
        <w:rPr>
          <w:b/>
          <w:sz w:val="24"/>
          <w:szCs w:val="24"/>
        </w:rPr>
      </w:pPr>
      <w:r w:rsidRPr="00D2105D">
        <w:rPr>
          <w:b/>
          <w:sz w:val="24"/>
          <w:szCs w:val="24"/>
        </w:rPr>
        <w:t>Treasurer’s Report for Financial Year 2017</w:t>
      </w:r>
    </w:p>
    <w:p w:rsidR="00D2105D" w:rsidRDefault="00D2105D" w:rsidP="00726013">
      <w:pPr>
        <w:spacing w:after="60"/>
        <w:ind w:firstLine="357"/>
        <w:jc w:val="center"/>
        <w:rPr>
          <w:b/>
          <w:sz w:val="24"/>
          <w:szCs w:val="24"/>
        </w:rPr>
      </w:pPr>
      <w:r w:rsidRPr="00D2105D">
        <w:rPr>
          <w:b/>
          <w:sz w:val="24"/>
          <w:szCs w:val="24"/>
        </w:rPr>
        <w:t>Presented to AGM on 16</w:t>
      </w:r>
      <w:r w:rsidRPr="00D2105D">
        <w:rPr>
          <w:b/>
          <w:sz w:val="24"/>
          <w:szCs w:val="24"/>
          <w:vertAlign w:val="superscript"/>
        </w:rPr>
        <w:t>th</w:t>
      </w:r>
      <w:r w:rsidRPr="00D2105D">
        <w:rPr>
          <w:b/>
          <w:sz w:val="24"/>
          <w:szCs w:val="24"/>
        </w:rPr>
        <w:t xml:space="preserve"> March 2018</w:t>
      </w:r>
    </w:p>
    <w:p w:rsidR="00D2105D" w:rsidRPr="00D2105D" w:rsidRDefault="00D2105D" w:rsidP="00D2105D">
      <w:pPr>
        <w:jc w:val="center"/>
        <w:rPr>
          <w:b/>
          <w:sz w:val="24"/>
          <w:szCs w:val="24"/>
        </w:rPr>
      </w:pPr>
    </w:p>
    <w:p w:rsidR="00D2105D" w:rsidRPr="00D2105D" w:rsidRDefault="00D2105D" w:rsidP="00D2105D">
      <w:pPr>
        <w:ind w:firstLine="0"/>
        <w:rPr>
          <w:b/>
          <w:sz w:val="24"/>
          <w:szCs w:val="24"/>
        </w:rPr>
      </w:pPr>
      <w:r w:rsidRPr="00D2105D">
        <w:rPr>
          <w:b/>
          <w:sz w:val="24"/>
          <w:szCs w:val="24"/>
        </w:rPr>
        <w:t>Introduction</w:t>
      </w:r>
    </w:p>
    <w:p w:rsidR="00D2105D" w:rsidRDefault="00D2105D" w:rsidP="00D2105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These accounts are presented on a receipts and payments basis, not on a profit a</w:t>
      </w:r>
      <w:r w:rsidR="002A6D4B">
        <w:rPr>
          <w:sz w:val="24"/>
          <w:szCs w:val="24"/>
        </w:rPr>
        <w:t>nd loss</w:t>
      </w:r>
      <w:r>
        <w:rPr>
          <w:sz w:val="24"/>
          <w:szCs w:val="24"/>
        </w:rPr>
        <w:t>; there is no balance sheet, no accruals and no depreciation.</w:t>
      </w:r>
    </w:p>
    <w:p w:rsidR="00D2105D" w:rsidRDefault="00D2105D" w:rsidP="00D2105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They have been independently examined by Kim Lo</w:t>
      </w:r>
      <w:r w:rsidR="002A6D4B">
        <w:rPr>
          <w:sz w:val="24"/>
          <w:szCs w:val="24"/>
        </w:rPr>
        <w:t>, a chartered accountant and member of Harriers.</w:t>
      </w:r>
    </w:p>
    <w:p w:rsidR="00D2105D" w:rsidRDefault="00D2105D" w:rsidP="00D2105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last five years shown.  In addition there is a breakdown of competition costs </w:t>
      </w:r>
      <w:r w:rsidR="00D30B3D">
        <w:rPr>
          <w:sz w:val="24"/>
          <w:szCs w:val="24"/>
        </w:rPr>
        <w:t>for</w:t>
      </w:r>
      <w:r w:rsidR="002A6D4B">
        <w:rPr>
          <w:sz w:val="24"/>
          <w:szCs w:val="24"/>
        </w:rPr>
        <w:t xml:space="preserve"> Athletics Meetings/Entries and Endurance.</w:t>
      </w:r>
    </w:p>
    <w:p w:rsidR="00B779B6" w:rsidRDefault="00B779B6" w:rsidP="00D2105D">
      <w:pPr>
        <w:spacing w:after="120"/>
        <w:ind w:firstLine="0"/>
        <w:rPr>
          <w:sz w:val="24"/>
          <w:szCs w:val="24"/>
        </w:rPr>
      </w:pPr>
    </w:p>
    <w:p w:rsidR="00081DE5" w:rsidRPr="00081DE5" w:rsidRDefault="00081DE5" w:rsidP="00081DE5">
      <w:pPr>
        <w:ind w:firstLine="0"/>
        <w:rPr>
          <w:b/>
          <w:sz w:val="24"/>
          <w:szCs w:val="24"/>
        </w:rPr>
      </w:pPr>
      <w:r w:rsidRPr="00081DE5">
        <w:rPr>
          <w:b/>
          <w:sz w:val="24"/>
          <w:szCs w:val="24"/>
        </w:rPr>
        <w:t>Headlines</w:t>
      </w:r>
    </w:p>
    <w:p w:rsidR="00081DE5" w:rsidRDefault="00081DE5" w:rsidP="00D2105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Over </w:t>
      </w:r>
      <w:r w:rsidR="00D30B3D">
        <w:rPr>
          <w:sz w:val="24"/>
          <w:szCs w:val="24"/>
        </w:rPr>
        <w:t>2017</w:t>
      </w:r>
      <w:r>
        <w:rPr>
          <w:sz w:val="24"/>
          <w:szCs w:val="24"/>
        </w:rPr>
        <w:t xml:space="preserve"> our cash balance declined by £1,565 to £20,058.</w:t>
      </w:r>
    </w:p>
    <w:p w:rsidR="00081DE5" w:rsidRDefault="00081DE5" w:rsidP="00D2105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breakdown of </w:t>
      </w:r>
      <w:r w:rsidR="00427866">
        <w:rPr>
          <w:sz w:val="24"/>
          <w:szCs w:val="24"/>
        </w:rPr>
        <w:t>year-end</w:t>
      </w:r>
      <w:r>
        <w:rPr>
          <w:sz w:val="24"/>
          <w:szCs w:val="24"/>
        </w:rPr>
        <w:t xml:space="preserve"> paid membership </w:t>
      </w:r>
      <w:r w:rsidR="00427866">
        <w:rPr>
          <w:sz w:val="24"/>
          <w:szCs w:val="24"/>
        </w:rPr>
        <w:t>is</w:t>
      </w:r>
      <w:r>
        <w:rPr>
          <w:sz w:val="24"/>
          <w:szCs w:val="24"/>
        </w:rPr>
        <w:t xml:space="preserve"> as follows:</w:t>
      </w:r>
    </w:p>
    <w:tbl>
      <w:tblPr>
        <w:tblW w:w="3400" w:type="dxa"/>
        <w:jc w:val="center"/>
        <w:tblLook w:val="04A0" w:firstRow="1" w:lastRow="0" w:firstColumn="1" w:lastColumn="0" w:noHBand="0" w:noVBand="1"/>
      </w:tblPr>
      <w:tblGrid>
        <w:gridCol w:w="1400"/>
        <w:gridCol w:w="820"/>
        <w:gridCol w:w="640"/>
        <w:gridCol w:w="550"/>
      </w:tblGrid>
      <w:tr w:rsidR="00726013" w:rsidRPr="00726013" w:rsidTr="00726013">
        <w:trPr>
          <w:trHeight w:val="255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</w:t>
            </w:r>
          </w:p>
        </w:tc>
      </w:tr>
      <w:tr w:rsidR="00726013" w:rsidRPr="00726013" w:rsidTr="00726013">
        <w:trPr>
          <w:trHeight w:val="255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Junior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</w:tr>
      <w:tr w:rsidR="00726013" w:rsidRPr="00726013" w:rsidTr="00726013">
        <w:trPr>
          <w:trHeight w:val="255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</w:tr>
      <w:tr w:rsidR="00726013" w:rsidRPr="00726013" w:rsidTr="00726013">
        <w:trPr>
          <w:trHeight w:val="255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Associate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</w:tr>
      <w:tr w:rsidR="00726013" w:rsidRPr="00726013" w:rsidTr="00726013">
        <w:trPr>
          <w:trHeight w:val="255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726013" w:rsidRPr="00726013" w:rsidTr="00726013">
        <w:trPr>
          <w:trHeight w:val="255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13" w:rsidRPr="00726013" w:rsidRDefault="00726013" w:rsidP="00726013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26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267</w:t>
            </w:r>
          </w:p>
        </w:tc>
      </w:tr>
    </w:tbl>
    <w:p w:rsidR="002A6D4B" w:rsidRDefault="002A6D4B" w:rsidP="00B779B6">
      <w:pPr>
        <w:ind w:firstLine="0"/>
        <w:rPr>
          <w:b/>
          <w:sz w:val="24"/>
          <w:szCs w:val="24"/>
        </w:rPr>
      </w:pPr>
      <w:r w:rsidRPr="002A6D4B">
        <w:rPr>
          <w:b/>
          <w:sz w:val="24"/>
          <w:szCs w:val="24"/>
        </w:rPr>
        <w:t>Summary</w:t>
      </w:r>
    </w:p>
    <w:p w:rsidR="00B779B6" w:rsidRDefault="00B779B6" w:rsidP="00D2105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For many years the Club has made a surplus </w:t>
      </w:r>
      <w:r w:rsidR="00726013">
        <w:rPr>
          <w:sz w:val="24"/>
          <w:szCs w:val="24"/>
        </w:rPr>
        <w:t xml:space="preserve">only </w:t>
      </w:r>
      <w:r>
        <w:rPr>
          <w:sz w:val="24"/>
          <w:szCs w:val="24"/>
        </w:rPr>
        <w:t>because of the contribution of the various events we run</w:t>
      </w:r>
      <w:r w:rsidR="00D30B3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without them the Club would lose cash every year.  The following table shows what the extent of th</w:t>
      </w:r>
      <w:r w:rsidR="00081DE5">
        <w:rPr>
          <w:sz w:val="24"/>
          <w:szCs w:val="24"/>
        </w:rPr>
        <w:t>ose</w:t>
      </w:r>
      <w:r>
        <w:rPr>
          <w:sz w:val="24"/>
          <w:szCs w:val="24"/>
        </w:rPr>
        <w:t xml:space="preserve"> loses would have been:</w:t>
      </w:r>
    </w:p>
    <w:p w:rsidR="00D30B3D" w:rsidRPr="00D30B3D" w:rsidRDefault="00D30B3D" w:rsidP="00D2105D">
      <w:pPr>
        <w:spacing w:after="120"/>
        <w:ind w:firstLine="0"/>
        <w:rPr>
          <w:sz w:val="8"/>
          <w:szCs w:val="8"/>
        </w:rPr>
      </w:pPr>
    </w:p>
    <w:tbl>
      <w:tblPr>
        <w:tblW w:w="5740" w:type="dxa"/>
        <w:jc w:val="center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</w:tblGrid>
      <w:tr w:rsidR="00B779B6" w:rsidRPr="00B779B6" w:rsidTr="00B779B6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</w:t>
            </w: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-2851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-1560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-2556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-5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-3197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-1273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-49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</w:tbl>
    <w:p w:rsidR="00B779B6" w:rsidRPr="00081DE5" w:rsidRDefault="00B779B6" w:rsidP="00D2105D">
      <w:pPr>
        <w:spacing w:after="120"/>
        <w:ind w:firstLine="0"/>
        <w:rPr>
          <w:sz w:val="8"/>
          <w:szCs w:val="8"/>
        </w:rPr>
      </w:pPr>
    </w:p>
    <w:p w:rsidR="00B779B6" w:rsidRDefault="00B779B6" w:rsidP="00D2105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The relatively good position in 2014 was achieved through</w:t>
      </w:r>
      <w:r w:rsidR="00081DE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munificence of MSDC: an award of £3</w:t>
      </w:r>
      <w:r w:rsidR="00081DE5">
        <w:rPr>
          <w:sz w:val="24"/>
          <w:szCs w:val="24"/>
        </w:rPr>
        <w:t>,</w:t>
      </w:r>
      <w:r>
        <w:rPr>
          <w:sz w:val="24"/>
          <w:szCs w:val="24"/>
        </w:rPr>
        <w:t xml:space="preserve">162; a grant of £500 </w:t>
      </w:r>
      <w:r w:rsidR="00081DE5">
        <w:rPr>
          <w:sz w:val="24"/>
          <w:szCs w:val="24"/>
        </w:rPr>
        <w:t>towards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LiRF</w:t>
      </w:r>
      <w:proofErr w:type="spellEnd"/>
      <w:r>
        <w:rPr>
          <w:sz w:val="24"/>
          <w:szCs w:val="24"/>
        </w:rPr>
        <w:t xml:space="preserve"> courses.</w:t>
      </w:r>
    </w:p>
    <w:p w:rsidR="00B779B6" w:rsidRPr="00B779B6" w:rsidRDefault="00081DE5" w:rsidP="00D2105D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A detailed breakdown for 2017 is shown below</w:t>
      </w:r>
      <w:r w:rsidR="00726013">
        <w:rPr>
          <w:sz w:val="24"/>
          <w:szCs w:val="24"/>
        </w:rPr>
        <w:t>:</w:t>
      </w: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3120"/>
        <w:gridCol w:w="960"/>
      </w:tblGrid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Normal Operating Surplus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-3317</w:t>
            </w: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Exceptional Expenditure: Shed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-1629</w:t>
            </w: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Actual Operating Surplus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-4946</w:t>
            </w: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Events Su</w:t>
            </w:r>
            <w:r w:rsidR="00081DE5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plus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900</w:t>
            </w: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Catering at XC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Catering at CH Relays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Wakehurst</w:t>
            </w:r>
            <w:proofErr w:type="spellEnd"/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Willow Donation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color w:val="000000"/>
                <w:lang w:eastAsia="en-GB"/>
              </w:rPr>
              <w:t>1100</w:t>
            </w: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non-Operating Surplus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3381</w:t>
            </w: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9B6" w:rsidRPr="00B779B6" w:rsidTr="00B779B6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Overall Surplus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9B6" w:rsidRPr="00B779B6" w:rsidRDefault="00B779B6" w:rsidP="00B779B6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79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-1565</w:t>
            </w:r>
          </w:p>
        </w:tc>
      </w:tr>
    </w:tbl>
    <w:p w:rsidR="002A6D4B" w:rsidRDefault="002A6D4B" w:rsidP="00D2105D">
      <w:pPr>
        <w:spacing w:after="120"/>
        <w:ind w:firstLine="0"/>
        <w:rPr>
          <w:b/>
          <w:sz w:val="24"/>
          <w:szCs w:val="24"/>
        </w:rPr>
      </w:pPr>
    </w:p>
    <w:p w:rsidR="002A6D4B" w:rsidRPr="00D30B3D" w:rsidRDefault="00726013" w:rsidP="00D2105D">
      <w:pPr>
        <w:spacing w:after="120"/>
        <w:ind w:firstLine="0"/>
        <w:rPr>
          <w:b/>
        </w:rPr>
      </w:pPr>
      <w:r w:rsidRPr="00D30B3D">
        <w:rPr>
          <w:i/>
        </w:rPr>
        <w:t xml:space="preserve">Comments: The Events Surplus of £900 includes </w:t>
      </w:r>
      <w:proofErr w:type="spellStart"/>
      <w:r w:rsidRPr="00D30B3D">
        <w:rPr>
          <w:i/>
        </w:rPr>
        <w:t>Hickstead</w:t>
      </w:r>
      <w:proofErr w:type="spellEnd"/>
      <w:r w:rsidRPr="00D30B3D">
        <w:rPr>
          <w:i/>
        </w:rPr>
        <w:t xml:space="preserve"> sponsorship of £350; the XC </w:t>
      </w:r>
      <w:r w:rsidR="00D30B3D" w:rsidRPr="00D30B3D">
        <w:rPr>
          <w:i/>
        </w:rPr>
        <w:t xml:space="preserve">League </w:t>
      </w:r>
      <w:r w:rsidRPr="00D30B3D">
        <w:rPr>
          <w:i/>
        </w:rPr>
        <w:t xml:space="preserve">catering will not recur in 2018.  </w:t>
      </w:r>
      <w:r w:rsidR="00D30B3D" w:rsidRPr="00D30B3D">
        <w:rPr>
          <w:i/>
        </w:rPr>
        <w:t>Neither t</w:t>
      </w:r>
      <w:r w:rsidRPr="00D30B3D">
        <w:rPr>
          <w:i/>
        </w:rPr>
        <w:t xml:space="preserve">he CH Relays </w:t>
      </w:r>
      <w:proofErr w:type="gramStart"/>
      <w:r w:rsidRPr="00D30B3D">
        <w:rPr>
          <w:i/>
        </w:rPr>
        <w:t xml:space="preserve">catering </w:t>
      </w:r>
      <w:r w:rsidR="00D30B3D" w:rsidRPr="00D30B3D">
        <w:rPr>
          <w:i/>
        </w:rPr>
        <w:t>nor</w:t>
      </w:r>
      <w:proofErr w:type="gramEnd"/>
      <w:r w:rsidRPr="00D30B3D">
        <w:rPr>
          <w:i/>
        </w:rPr>
        <w:t xml:space="preserve"> </w:t>
      </w:r>
      <w:r w:rsidR="00D30B3D" w:rsidRPr="00D30B3D">
        <w:rPr>
          <w:i/>
        </w:rPr>
        <w:t xml:space="preserve">the </w:t>
      </w:r>
      <w:proofErr w:type="spellStart"/>
      <w:r w:rsidRPr="00D30B3D">
        <w:rPr>
          <w:i/>
        </w:rPr>
        <w:t>Wakehurst</w:t>
      </w:r>
      <w:proofErr w:type="spellEnd"/>
      <w:r w:rsidRPr="00D30B3D">
        <w:rPr>
          <w:i/>
        </w:rPr>
        <w:t xml:space="preserve"> Willows contribution</w:t>
      </w:r>
      <w:r w:rsidR="00D30B3D" w:rsidRPr="00D30B3D">
        <w:rPr>
          <w:i/>
        </w:rPr>
        <w:t xml:space="preserve"> </w:t>
      </w:r>
      <w:r w:rsidRPr="00D30B3D">
        <w:rPr>
          <w:i/>
        </w:rPr>
        <w:t>are guaranteed in future years</w:t>
      </w:r>
      <w:r w:rsidR="00D30B3D" w:rsidRPr="00D30B3D">
        <w:rPr>
          <w:i/>
        </w:rPr>
        <w:t>.</w:t>
      </w:r>
      <w:bookmarkStart w:id="0" w:name="_GoBack"/>
      <w:bookmarkEnd w:id="0"/>
    </w:p>
    <w:p w:rsidR="002A6D4B" w:rsidRPr="00D2105D" w:rsidRDefault="002A6D4B" w:rsidP="00D2105D">
      <w:pPr>
        <w:spacing w:after="120"/>
        <w:ind w:firstLine="0"/>
        <w:rPr>
          <w:sz w:val="24"/>
          <w:szCs w:val="24"/>
        </w:rPr>
      </w:pPr>
    </w:p>
    <w:sectPr w:rsidR="002A6D4B" w:rsidRPr="00D2105D" w:rsidSect="0072601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5D"/>
    <w:rsid w:val="00081DE5"/>
    <w:rsid w:val="002A6D4B"/>
    <w:rsid w:val="003430F3"/>
    <w:rsid w:val="003F0876"/>
    <w:rsid w:val="00427866"/>
    <w:rsid w:val="00726013"/>
    <w:rsid w:val="008C6028"/>
    <w:rsid w:val="00B779B6"/>
    <w:rsid w:val="00D2105D"/>
    <w:rsid w:val="00D3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76"/>
  </w:style>
  <w:style w:type="paragraph" w:styleId="Heading1">
    <w:name w:val="heading 1"/>
    <w:basedOn w:val="Normal"/>
    <w:next w:val="Normal"/>
    <w:link w:val="Heading1Char"/>
    <w:uiPriority w:val="9"/>
    <w:qFormat/>
    <w:rsid w:val="003F08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8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8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8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08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8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87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876"/>
    <w:rPr>
      <w:b/>
      <w:bCs/>
      <w:spacing w:val="0"/>
    </w:rPr>
  </w:style>
  <w:style w:type="character" w:styleId="Emphasis">
    <w:name w:val="Emphasis"/>
    <w:uiPriority w:val="20"/>
    <w:qFormat/>
    <w:rsid w:val="003F087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087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F0876"/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8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8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F08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087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F087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F087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F08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87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76"/>
  </w:style>
  <w:style w:type="paragraph" w:styleId="Heading1">
    <w:name w:val="heading 1"/>
    <w:basedOn w:val="Normal"/>
    <w:next w:val="Normal"/>
    <w:link w:val="Heading1Char"/>
    <w:uiPriority w:val="9"/>
    <w:qFormat/>
    <w:rsid w:val="003F08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8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8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8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08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8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87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876"/>
    <w:rPr>
      <w:b/>
      <w:bCs/>
      <w:spacing w:val="0"/>
    </w:rPr>
  </w:style>
  <w:style w:type="character" w:styleId="Emphasis">
    <w:name w:val="Emphasis"/>
    <w:uiPriority w:val="20"/>
    <w:qFormat/>
    <w:rsid w:val="003F087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087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F0876"/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8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8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F08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087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F087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F087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F08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87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Harriers</dc:creator>
  <cp:lastModifiedBy>Harriers</cp:lastModifiedBy>
  <cp:revision>2</cp:revision>
  <dcterms:created xsi:type="dcterms:W3CDTF">2018-02-07T09:53:00Z</dcterms:created>
  <dcterms:modified xsi:type="dcterms:W3CDTF">2018-02-07T11:00:00Z</dcterms:modified>
</cp:coreProperties>
</file>